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6B" w:rsidRPr="001D27BE" w:rsidRDefault="00696F6B" w:rsidP="00696F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7BE">
        <w:rPr>
          <w:rFonts w:ascii="Times New Roman" w:hAnsi="Times New Roman" w:cs="Times New Roman"/>
          <w:b/>
          <w:sz w:val="28"/>
          <w:szCs w:val="28"/>
        </w:rPr>
        <w:t>Методические рекомендации к занятию №</w:t>
      </w:r>
      <w:r w:rsidRPr="001D27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D27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696F6B" w:rsidRPr="001D27BE" w:rsidRDefault="00696F6B" w:rsidP="00696F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7BE">
        <w:rPr>
          <w:rFonts w:ascii="Times New Roman" w:hAnsi="Times New Roman" w:cs="Times New Roman"/>
          <w:b/>
          <w:sz w:val="28"/>
          <w:szCs w:val="28"/>
        </w:rPr>
        <w:t xml:space="preserve">по дисциплине «Клиническая </w:t>
      </w:r>
      <w:r w:rsidRPr="001D27BE">
        <w:rPr>
          <w:rFonts w:ascii="Times New Roman" w:hAnsi="Times New Roman" w:cs="Times New Roman"/>
          <w:b/>
          <w:sz w:val="28"/>
          <w:szCs w:val="28"/>
          <w:lang w:val="ru-RU"/>
        </w:rPr>
        <w:t>(био)</w:t>
      </w:r>
      <w:r w:rsidRPr="001D27BE">
        <w:rPr>
          <w:rFonts w:ascii="Times New Roman" w:hAnsi="Times New Roman" w:cs="Times New Roman"/>
          <w:b/>
          <w:sz w:val="28"/>
          <w:szCs w:val="28"/>
        </w:rPr>
        <w:t>химия»</w:t>
      </w:r>
    </w:p>
    <w:p w:rsidR="00696F6B" w:rsidRDefault="00696F6B" w:rsidP="00696F6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7BE">
        <w:rPr>
          <w:rFonts w:ascii="Times New Roman" w:hAnsi="Times New Roman" w:cs="Times New Roman"/>
          <w:b/>
          <w:sz w:val="28"/>
          <w:szCs w:val="28"/>
        </w:rPr>
        <w:t>Тема:</w:t>
      </w:r>
      <w:r w:rsidRPr="001D27BE">
        <w:rPr>
          <w:rFonts w:ascii="Times New Roman" w:hAnsi="Times New Roman" w:cs="Times New Roman"/>
          <w:b/>
          <w:sz w:val="28"/>
          <w:szCs w:val="28"/>
        </w:rPr>
        <w:tab/>
      </w:r>
      <w:r w:rsidRPr="001D27BE">
        <w:rPr>
          <w:rFonts w:ascii="Times New Roman" w:hAnsi="Times New Roman" w:cs="Times New Roman"/>
          <w:b/>
          <w:sz w:val="28"/>
          <w:szCs w:val="28"/>
          <w:lang w:val="ru-RU"/>
        </w:rPr>
        <w:t>Клинико-биохимические констеляции при заболеваниях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сердечно-сосудистой системы</w:t>
      </w:r>
    </w:p>
    <w:p w:rsidR="00696F6B" w:rsidRPr="00696F6B" w:rsidRDefault="00696F6B" w:rsidP="00696F6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СОВРЕМЕННЫЕ МАРКЕРЫ СЕРДЕЧНОЙ НЕДОСТАТОЧНОСТИ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Гомоцистеин (ГЦ) - независимый фактор риска заболеваний коронарных, церебральных и периферических артерий. Гипергомоцистеинемия (ГГЦ) повышает риск развития атеросклероза и тромбоза артерий независимо от традиционных факторов риска и служит прогностическим маркером летального исхода. Умеренное повышение содержания ГЦ в плазме крови связано с ранним развитием окклюзионных заболеваний сосудов, нервно-психических заболеваний, осложнений беременности, возникновения дефектов нервной трубки и других врожденных аномалий плода.</w:t>
      </w:r>
    </w:p>
    <w:p w:rsid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Главные факторы, определяющие содержание ГЦ в крови, - активность ферментов, обеспечивающих его метаболизм, и функциональное состояние почек, обеспечивающих выведение ГЦ из организма.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575A9C4" wp14:editId="5BFC75F5">
            <wp:extent cx="5048250" cy="2152650"/>
            <wp:effectExtent l="0" t="0" r="0" b="0"/>
            <wp:docPr id="1" name="Рисунок 1" descr="http://vmede.org/sait/content/Biohimija_klin_akylenko_2007/13_files/mb4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ede.org/sait/content/Biohimija_klin_akylenko_2007/13_files/mb4_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Важная роль в обмене ГЦ принадлежит витаминам В12, В6 и фолиевой кислоте. Дефицит этих витаминов может привести к гипергомоцистеинемии.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DFE7F1A" wp14:editId="54F0141A">
            <wp:extent cx="5057775" cy="1933575"/>
            <wp:effectExtent l="0" t="0" r="9525" b="9525"/>
            <wp:docPr id="2" name="Рисунок 2" descr="http://vmede.org/sait/content/Biohimija_klin_akylenko_2007/13_files/m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mede.org/sait/content/Biohimija_klin_akylenko_2007/13_files/mb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Существуют фармацевтические препараты, способствующие развитию гипергомоцистеинемии вследствие их влияния на витамины, функции почек и/или содержание гормонов. К повышению концентрации ГЦ приводит прием метотрексата, метилпреднизолона, эстрогенсодержащих контрацептивов, гиполипидемических препаратов, диуретиков при их длительном использовании.</w:t>
      </w:r>
    </w:p>
    <w:p w:rsid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Повышение концентрации гомоцистеина оказывает повреждающее действие как на стенку сосудов, так и на систему свертывания кро - ви, создавая условия для </w:t>
      </w: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атеросклеротических изменений в сосудах и повышенного тромбообразования. Гипергомоцистеинемия нарушает сосудодвигательную регуляцию и антикоагуляционные свойства эндотелия, угнетает тромбомодулирующую активность, вызывает изменения в стенке сосудов, характерные для атеросклероза, способствует росту атеросклеротических бляшек. ГЦ токсически действует на эндотелий сосудов, усиливает адгезию тромбоцитов.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775EB314" wp14:editId="3B8C7CF4">
            <wp:extent cx="5057775" cy="2514600"/>
            <wp:effectExtent l="0" t="0" r="9525" b="0"/>
            <wp:docPr id="3" name="Рисунок 3" descr="http://vmede.org/sait/content/Biohimija_klin_akylenko_2007/13_files/mb4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mede.org/sait/content/Biohimija_klin_akylenko_2007/13_files/mb4_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ГГЦ диагностируют в случае превышения уровня 15 мкмоль/л. При концентрации 15-30 мкмоль/л степень ГГЦ считают умеренной, при 30-100 мкмоль/л - средней, более 100 мкмоль/л - тяжелой.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Гипергомоцистеинемия - независимый фактор риска развития рестеноза - повторного сужения дилатированных артерий после ангиопластики у больных ИБС. У детей с синдромом Дауна концентрация ГЦ в крови значительно ниже, чем у здоровых братьев и сестер.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Неблагоприятное воздействие ГГЦ на эндотелий сосудов и стимуляция тромбообразования приводят к развитию осложнений беременности. На ранних сроках беременности ГГЦ может вызвать расстройство плацентарного кровообращения, результатом чего становятся бесплодие и невынашивание беременности. В более поздние сроки ГГЦ может стать причиной хронической фетоплацентарной недостаточности, нефропатии, преэклампсии и эклампсии, гипоксии плода, внутриутробной гипотрофии и рождения ребенка с низкой массой тела. Концентрация ГЦ коррелирует с тяжестью гестоза. ГГЦ поддается коррекции с помощью приема фолиевой кислоты и витаминов группы В. Своевременное выявление повышенного содержания ГЦ в крови беременных способствует снижению риска осложнений как у матери, так и у ребенка.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БНП-НЕЗАВИСИМЫЙ МАРКЕР ЗАСТОЙНОЙ СЕРДЕЧНОЙ НЕДОСТАТОЧНОСТИ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Диагностика сердечной недостаточности на ранних стадиях особенно трудна, так как ее характерные симптомы (одышка, отечность голеностопных суставов, утомляемость) неспецифичны. Даже при наличии этих симптомов их часто трудно интерпретировать, особенно у пожилых пациентов. По этой причине при первичном обследовании использование только клинических критериев приводит к гипердиагностике сердечной недостаточности в 50% случаев. В настоящее время наиболее важные методы выявления сердечной недостаточности - ЭхоКГ, радионуклидная ангиография и ядерно-магнитный резонанс (ЯМР). Однако ни один из этих методов не обладает абсолютной достоверностью и воспроизводимостью. Несмотря на важность понимания патогенеза и лечения сердечной недостаточности, это заболевание остается одной из главных проблем здравоохранения. Так, общие затраты, связанные с сердечной недостаточностью, составляют, например в США, 30 млн долларов в год.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96F6B" w:rsidRPr="00696F6B" w:rsidTr="00696F6B">
        <w:trPr>
          <w:tblCellSpacing w:w="0" w:type="dxa"/>
        </w:trPr>
        <w:tc>
          <w:tcPr>
            <w:tcW w:w="0" w:type="auto"/>
            <w:vAlign w:val="center"/>
            <w:hideMark/>
          </w:tcPr>
          <w:p w:rsidR="00696F6B" w:rsidRPr="00696F6B" w:rsidRDefault="00696F6B" w:rsidP="00696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Сердце выполняет не только функцию насоса, но и функцию эндокринной железы. К настоящему времени идентифицировано два пептида, синтезируемых миокардом в результате его напряжения и поступающих в кровоток, - ANT-предсердный натрийуретический пептид и BNP-желудочковый натрийуретический пептид. Эти пептиды - ключевые регуляторы солевого гомеостаза и экскреции воды, они важны для поддержания давления крови. BNP синтезируется в желудочках миокарда в результате вентрикулярной перегрузки, высвобождается из сердца в ответ на растяжение миокарда и повышение давления. Он служит более показательным маркером желудочковой дисфункции. Его содержание в крови повышается в прямой зависимости от степени сердечной недостаточности. С другой стороны, нормальная концентрация BNP исключает сердечную дисфункцию у пациентов с одышкой. Следовательно, содержание этого маркера в крови можно использовать для дифференциальной диагностики у симптоматических пациентов с целью правильного выбора специалиста для дальнейшего наблюдения (кардиолог) и адекватной заболеванию терапии. Европейская ассоциации кардиологов (ESC) предлагает новый алгоритм диагностики сердечной недостаточности с целью улучшения ее выявления и лечения. Правила ESC по диагностике сердечной недостаточности включают проведение ЭКГ, рентгенографии грудной клетки и исследование крови пациента на содержание BNP. BNP - важный сывороточный маркер, используемый для оценки степени тяжести, стадии сердечной недостаточности, независимый от возраста, пола и функций почек, с 2003 г. служит «золотым стандартом» для использования в клинической практике.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Клиническое значение BNP (международные исследования).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•  Идентификация пациентов с коронарной недостаточностью.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96F6B" w:rsidRPr="00696F6B" w:rsidTr="00696F6B">
        <w:trPr>
          <w:tblCellSpacing w:w="0" w:type="dxa"/>
        </w:trPr>
        <w:tc>
          <w:tcPr>
            <w:tcW w:w="0" w:type="auto"/>
            <w:vAlign w:val="center"/>
            <w:hideMark/>
          </w:tcPr>
          <w:p w:rsidR="00696F6B" w:rsidRPr="00696F6B" w:rsidRDefault="00696F6B" w:rsidP="00696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•  Подтверждение степени выраженности коронарной недостаточности.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•  Направленный мониторинг пациентов с коронарной недостаточностью.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•  Оптимизация и мониторинг терапии.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•  Выявление групп риска.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Клиническое использование BNP.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•  Диагностика дисфункций левого желудочка или сердечной недостаточности - дифференциальная диагностика у пациентов с одышкой.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•  Оценочный прогноз дисфункций левого желудочка.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•  Оценка риска возникновения вторичного острого инфаркта миокарда (ОИМ), независимый фактор риска внезапной смерти.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•  Мониторинг терапии болезни.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•  Скрининг пациентов из групп высокого риска с бессимптомным течением левожелудочковой дисфункции (больные сахарным диабетом, пациенты с гипертонической болезнью, перенесшие ОИМ, люди старше 50 лет).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•  Дифференциальная диагностика между легочными, сердечными и другими заболеваниями при длительном их течении.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•  Прогноз течения заболевания.</w:t>
      </w:r>
    </w:p>
    <w:p w:rsidR="00696F6B" w:rsidRDefault="00696F6B" w:rsidP="00696F6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</w:p>
    <w:p w:rsidR="00696F6B" w:rsidRPr="00696F6B" w:rsidRDefault="00696F6B" w:rsidP="00696F6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ЛАБОРАТОРНАЯ ДИАГНОСТИКА ИНФАРКТА МИОКАРДА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Критерии диагностики острого инфаркта миокарда представлены соответствующими клиническими симптомами, характерными ЭКГ-изменениями и повышением кардиальных протеинов в сыворотке или плазме крови.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недавнего времени лабораторная диагностика острого инфаркта миокарда зависела, главным образом, от определения активности СК и СК-МВ, но обнаружено, что при этих исследованиях часто не выявляют малые, нетрансмуральные инфаркты (без-Q-инфаркты). Более того, диагностическая чувствительность этих маркеров значительно ниже на ранних этапах приступа, чем у миоглобина, тогда как диагностическая специфичность их сопоставима. Кроме того, определение содержания миоглобина подтверждает нормализацию кровообращения в коронарных сосудах в первые 2 ч после начала фибринолитической терапии.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По сравнению с измерением каталитической активности СК-МВ, иммунохимическое определение СК-МВ (как СК-МВ концентрации, или СК-МВ-mass) обладает значительно большей диагностической чувствительностью, особенно на ранней стадии заболевания. В противоположность измерению иммунного ингибирования названных маркеров определение концентрации не дает ложноположительных высоких значений, если в сыворотке присутствуют другие изоэнзимы (СК-ВВ) или изоформы (т.е. макро-СК). Анализ СК-МВ-активности - очень нечувствительный метод, в диапазоне приближения к 10 Е/л. По сравнению с анализом концентрации, детекция измеряемого нарастания СК-МВ задерживается. Замечено, однако, что СК-МВ образуется не только в миокарде, но и в скелетных мышцах. По этой причине данный маркер нельзя считать параметром, специфичным для миокарда.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Измеряемыми высокоспецифичными для миокарда параметрами можно определить компоненты тропонинового комплекса. Изоформы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Тропонина I, так же, как и тропонина Т, значительно отличаются по аминокислотной последовательности в сердечной и скелетных мышцах. Это дает возможность получить специфичные антитела против кардиальных изоформ тропонинов Т и I и использовать их в тест-системах.</w:t>
      </w:r>
    </w:p>
    <w:p w:rsid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Таблица 1. </w:t>
      </w: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Сравнение результатов измерений cTnl и cTnT у больных с острым инфарктом миокарда (по данным J Mair e.a. 1996, Clinica Chimica Acta v.245 pp.19-38)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5A988CA8" wp14:editId="4EEC4E92">
            <wp:extent cx="5057775" cy="4048125"/>
            <wp:effectExtent l="0" t="0" r="9525" b="9525"/>
            <wp:docPr id="4" name="Рисунок 4" descr="http://vmede.org/sait/content/Biohimija_klin_akylenko_2007/14_files/m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mede.org/sait/content/Biohimija_klin_akylenko_2007/14_files/mb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Примечания. TnI - тропонин I; TnT - тропонин T; cTnI - концентрация тропонина I; cTnT - концентрация тропонина T.</w:t>
      </w:r>
    </w:p>
    <w:p w:rsid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Тропонин I и Тропонин Т - компоненты сократительного аппарата, т.е. структурно связанные белки кардиомиоцитов. Тогда как растворенные в цитозоле белки (миоглобин) относительно быстро вымываются из зоны некроза, деструкция сократительного аппарата более продолжительна во времени, так что увеличение содержания тропонина определяют до 8-10 дней после острого приступа.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Определение содержания сердечных тропонинов I и Т дает возможность диагностики микронекроза миокарда, иногда возникающего в случае нестабильной стенокардии. Такие повышения концентрации тропонина имеют высокое прогностическое значение (по </w:t>
      </w: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отношению к инфарктам и смерти), что дает возможность оценивать степень риска пациентов со стенокардией. Диагностическая оценка этих методов включает серийные исследования у пациентов с острым инфарктом миокарда и пациентов со стенокардией в сравнении с определением миоглобина, КК-МВ-mass и других лабораторных тестов.</w:t>
      </w:r>
    </w:p>
    <w:p w:rsid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Таблица 2. </w:t>
      </w: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Диагностическая чувствительность и специфичность лабораторных тестов при инфаркте миокарда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958DFA6" wp14:editId="7CC37244">
            <wp:extent cx="5048250" cy="4895850"/>
            <wp:effectExtent l="0" t="0" r="0" b="0"/>
            <wp:docPr id="5" name="Рисунок 5" descr="http://vmede.org/sait/content/Biohimija_klin_akylenko_2007/14_files/mb4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mede.org/sait/content/Biohimija_klin_akylenko_2007/14_files/mb4_0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Таблица 3. </w:t>
      </w: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Временные интервалы диагностической значимости исследования изменений маркеров ОИМ</w:t>
      </w:r>
    </w:p>
    <w:p w:rsid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5188BC3E" wp14:editId="35F864DC">
            <wp:extent cx="5057775" cy="2533650"/>
            <wp:effectExtent l="0" t="0" r="9525" b="0"/>
            <wp:docPr id="6" name="Рисунок 6" descr="http://vmede.org/sait/content/Biohimija_klin_akylenko_2007/14_files/mb4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mede.org/sait/content/Biohimija_klin_akylenko_2007/14_files/mb4_00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Таблицы показывают диагностическую чувствительность лабораторных методов при остром инфаркте миокарда в зависимости от длительности симптомов. Обнаружено, что диагностическая чувствительность всех параметров при ИМ зависит от длительности болевого приступа. Если боль отмечена в течение 4-6 ч, концентрация миоглобина повышается у всех пациентов с острым инфарктом миокарда, тогда как СК-МВ/mass увеличивется у 83%, а содержание тропонина - у 50% больных. Общая чувствительность для трех параметров становится 98%. </w:t>
      </w:r>
    </w:p>
    <w:p w:rsid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Содержание миоглобина начинает увеличиваться раньше остальных и потом возвращается к отсекающему значению на 2-й день, тогда как СК-МВ/mass нормализуется между 3-м и 4-м днем, а тропонин I - между 6-м и 8-м днем. Содержание тропонина I достигает максимума на 2-й день. Это максимальное значение в 30-50 раз превышает отсекающее. Величина отличия от отсекающего значения для тропонина I больше, чем для миоглобина (в 8-10 раз) или СК-МВ/mass (в 14-36 раз). У пациентов, которых лечили с применением чрескожной баллонной ангиопластики, выявляют более выраженное увеличение всех маркеров, чем у тех, кто получал тромболитическую терапию и консервативное лечение. У больных со стабильной стенокардией может повышаться концентрация миоглобина и СК-МВ/mass и отсутствовать изменение содержания сердечных тропонинов, что служит дифференциально-диагностическим критерием. 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У пациентов с нестабильной стенокардией возможно повышение концентрации тропонина I и СК-МВ/mass, тогда как содержание миоглобина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изменяется. Миоглобин, СК-МВ/mass и тропонин I показывают высокую чувствительность (98%) в распознавании острого инфаркта миокарда, в то же время кинетика их изменений различна. Значения содержания миоглобина нормализуются на 2-й день после приступа, СК-МВ/mass - между 3-м и 4-м днем, а тропонина I - между 6-м и 8-м днем. Если набор симптомов неизвестен, то динамика этих трех параметров и согласование ее по каждому в отдельности дает возможность дать заключение о характере клинической картины.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Еще недавно многие медицинские центры в практике использовали оценку динамики ферментов СК и СК-МВ с интервалами 4-8 ч. Сейчас доступность иммунохимического определения содержания миоглобина, СК-МВ/mass и тропонина I имеет несколько преимуществ. Время, необходимое для анализа, коротко, созданы условия для определения единичного образца. Более того, исследования обеспечивают новые возможности в диагностической чувствительности и специфичности, контроле лечения, оценке риска в развитии заболевания, последующих особенностей нестабильной стенокардии. Имея в виду различия в кинетике этих маркеров инфаркта миокарда, необходимо четкое согласование времени забора крови у пациента. Стандартный подход: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•  забор крови при поступлении в медицинский центр;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•  через 2 ч после начала болевого симптома;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•  через 4 ч;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•  через 8 ч;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•  затем ежедневно в течение 8 дней для контроля лечения и определения прогноза заболевания.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696F6B" w:rsidRPr="00696F6B" w:rsidTr="00696F6B">
        <w:trPr>
          <w:tblCellSpacing w:w="0" w:type="dxa"/>
        </w:trPr>
        <w:tc>
          <w:tcPr>
            <w:tcW w:w="0" w:type="auto"/>
            <w:vAlign w:val="center"/>
            <w:hideMark/>
          </w:tcPr>
          <w:p w:rsidR="00696F6B" w:rsidRPr="00696F6B" w:rsidRDefault="00696F6B" w:rsidP="00774F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6F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Одна из наиболее важных функций врача-лаборанта - интерпретация патологических лабораторных результатов исследований. Часто клиницисты, назначающие серию лабораторных исследований своим пациентам, сталкиваются с огромным, приводящим в замешательство набором цифр, которые трудно оценить. Врач-лаборант должен не только объяснить патологические результаты, но и подсказать, какие еще исследования необходимо провести пациенту, чтобы подтвердить или опровергнуть диагноз (Tanker, 1987; Statlan, 1988). Врач-лаборант должен сам выявить патологические результаты и приложить силы и знания к их объяснению даже без запроса о консультации. Если необходимо объяснить некоторые патологические результаты, какие-то исследования активно повторяют или заказывают дополнительные, чтобы оценить состояние пациента. Обычно необходимо обращать внимание на результаты, которые не вписываются в общую картину, не коррелируют друг с </w:t>
            </w:r>
            <w:r w:rsidRPr="00696F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другом. В большинстве случаев эти результаты совпадают, будучи истинно положительными (болезнь есть, и тест ее подтверждает) или истинно</w:t>
            </w:r>
            <w:r w:rsidR="00774F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774F47" w:rsidRPr="00696F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отрицательными (болезни нет, и тест ее исключает). Однако результаты могут быть и ложноотрицательными (болезнь есть, но тест ее исключает), и ложноположительными (болезни нет, но тест ее подтверждает). Вероятность положительного результата диагностического теста в присутствии болезни называют чувствительностью метода, а вероятность отрицательного результата в отсутствии болезни - его специфичностью.</w:t>
            </w:r>
            <w:r w:rsidR="00774F47" w:rsidRPr="00696F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Проанализируем, как можно использовать эти критерии у больных с инфарктом миокарда. Диагностическая чувствительность теста определяет вероятность положительного результата и показывает, с какой степенью уверенности можно ожидать положительного результата теста у больных: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•  диагностическая чувствительность (ДЧ) = количество больных с ИМ, имеющих положительный результат теста / количество всех больных с ИМ;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•  диагностическая специфичность (ДС) = количество пациентов без инфаркта миокарда, имеющих отрицательный результат / количество всех протестированных пациентов без инфаркта миокарда.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клинициста важнейшее значение имеет вопрос: как велика вероятность того, что ИМ есть на самом деле, если результат теста положительный, или с какой надежностью можно исключить поражение миокарда, если тест отрицательный. На эти вопросы можно ответить, используя предсказательную ценность положительного теста (ПЦП) и предсказательную ценность отрицательного теста (ПЦО).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•  ПЦП = количество больных с ИМ с положительным результатом теста / количество больных с ИМ с положительным результатом теста + больные без инфаркта миокарда с ложноположительным результатом теста.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•  ПЦО = количество больных без инфаркта миокарда с отрицательным результатом теста / количество всех отрицательных результатов (т.е. отрицательные + ложноотрицательные).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96F6B" w:rsidRPr="00696F6B" w:rsidTr="00696F6B">
        <w:trPr>
          <w:tblCellSpacing w:w="0" w:type="dxa"/>
        </w:trPr>
        <w:tc>
          <w:tcPr>
            <w:tcW w:w="0" w:type="auto"/>
            <w:vAlign w:val="center"/>
            <w:hideMark/>
          </w:tcPr>
          <w:p w:rsidR="00696F6B" w:rsidRPr="00696F6B" w:rsidRDefault="00696F6B" w:rsidP="00696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Таблица 4. </w:t>
      </w: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Диагностические критерии у больных ИМ для различных тестов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5AA87AB" wp14:editId="75CD8CCA">
            <wp:extent cx="5057775" cy="1476375"/>
            <wp:effectExtent l="0" t="0" r="9525" b="9525"/>
            <wp:docPr id="7" name="Рисунок 7" descr="http://vmede.org/sait/content/Biohimija_klin_akylenko_2007/14_files/mb4_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mede.org/sait/content/Biohimija_klin_akylenko_2007/14_files/mb4_00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В настоящее время многие больницы в США активно разрабатывают нормированные пути (НП) для пациентов с различными заболеваниями. Основная цель создания НП - уменьшение длительности пребывания пациента в больнице и издержек, сопутствующих лечебно-диагностическому процессу. Обычно НП в клинической практике применяют для большого объема, высокого риска и высокой стоимости нозологий и процедур. В НП прослеживаются следующие аспекты процесса лечения пациента: консультации и оценки, тесты, лечение, пища, медикаменты (способ введения внутривенный и другой), активность (действие) или безопасность, планирование разгрузки и координация, другие дополнительные категории, основанные на определенном диагнозе или процедуре.</w:t>
      </w:r>
    </w:p>
    <w:p w:rsid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нашем представлении НП - оптимальная последовательность действий по времени и выбор времени вмешательств всех участников технологического процесса производства результатов исследований с целью снижения задержки и расхода ресурсов и максимального повышения качества результатов лабораторных исследований. Другими словами, НП - способ </w:t>
      </w: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визуализации всех частей единого технологического процесса производства анализов (от назначения исследований клиницистом, подготовки пациента до получения результатов и использования их в диагностике и лечении). </w:t>
      </w:r>
    </w:p>
    <w:p w:rsid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Таким образом, если предложенная индустриальная модель технологического процесса производства результатов лабораторных исследований определяет, что и как необходимо делать, то НП показывают, когда необходимо вмешаться в технологический процесс, и на каком этапе, чтобы снизить количество ошибок, расход ресурсов (моноветы, реактивы, калибраторы и т.д.) и чтобы результаты исследований максимально соответствовали реальным. Мы приводим нормированный путь проведения биохимических исследований для пациента с подозрением на инфаркт миокарда (ИМ). Следует подчеркнуть, что НП для экстренных исследований значительно отличается от НП для плановых исследований. </w:t>
      </w:r>
    </w:p>
    <w:p w:rsid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Общее требование для экстренных исследований - выполнение их в течение 45-60 мин после доставки материала в лабораторию, а на исследование жизненно важных параметров (например, содержание гемоглобина, гематокрит, КЩС, концентрация калия и глюкозы) отводят 3-5 мин.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Схема показывает, как «работает» НП диагностики ИМ. После назначения исследований АСТ, АЛТ, КК, КК-МВ, тропонина Т задействуют критерии (пороги) этого этапа.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• Первый порог. Когда можно назначать эти исследования? - Такие исследования для экстренной диагностики могут быть выполнены в любое время, поэтому их не включают в последующий анализ;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• Второй порог. Сколько времени прошло после острого ангинозного приступа? - В нашем примере прошло 6 ч, значит, пороги не задействуют, а если бы после острого приступа прошло 5 сут, порог бы включился, так как в этот период ИМ определение миоглобина для диагностики заболевания не используются.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этапе технологической операции взятия крови на исследования, несмотря на неподготовленность пациента к исследованиям, порог не включается, так как неотложные исследования проводят без подготовки, а если бы пациенту были назначены плановые биохимические исследования, то этот порог включился бы и потребовал вмешательства специалистов лаборатории для устранения отклонений от НП. Кровь на исследования у пациента с подозрением на ИМ необходимо взять в течение 10 мин после получения процедурной сестрой заявки и в течение такого же времени доставить в лабораторию. Отклонения по времени на этих этапах также анализируют и по ним вырабатывают программы устранения причин, приводящих к нарушениям. Аналогичным образом работают критерии порогов для технологических операций взятия, приема и обработки крови.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В случае получения результатов исследований, требующих немедленных действий со стороны клинициста, врач-лаборант срочно информирует его об этом. По этой причине в нашем случае при получении повышенных значений КК, КК-МВ, миоглобина врач-лаборант сообщает клиницисту о результатах (критерий не включается) и только затем приступает к написанию заключения.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96F6B" w:rsidRPr="00696F6B" w:rsidTr="00696F6B">
        <w:trPr>
          <w:tblCellSpacing w:w="0" w:type="dxa"/>
        </w:trPr>
        <w:tc>
          <w:tcPr>
            <w:tcW w:w="0" w:type="auto"/>
            <w:vAlign w:val="center"/>
            <w:hideMark/>
          </w:tcPr>
          <w:p w:rsidR="00696F6B" w:rsidRPr="00696F6B" w:rsidRDefault="00696F6B" w:rsidP="00696F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этапе технологической операции передачи результатов исследований врач-лаборант обязан указать время поступления материала в лабораторию и время выдачи ответа, а также убедиться в том, что клиницист получил результаты. Выполнение этих порогов имеет большое значение, особенно при проведении экстренных исследований и исследований по жизненным показаниям, так как устраняет повод для разбирательства в случаях, если лаборатория сталкивается с низкой ответственностью клинициста, который в качестве своего оправдания бездействия ссылается на то, что он не был вовремя информирован о результатах исследований.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этапе передачи результатов исследований НП не заканчивается, так как он должен обязательно включать постаналитическую часть единого технологического процесса производства анализов. Эта часть техно - логического процесса не менее важна, чем предыдущие, так как она позволяет оценить все предыдущие этапы. Администратором на этом </w:t>
      </w: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этапе НП становится клиницист, он отвечает за интерпретацию и использование полученной лабораторной информации. Критерии НП на постаналитической части: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•  соответствуют ли результаты исследований объективному состоянию пациента;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•  отражены ли результаты исследований в истории болезни;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•  какие действия предприняты клиницистом по результатам исследований;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•  повлияли ли результаты исследований на качество оказания медицинской помощи пациенту.</w:t>
      </w:r>
    </w:p>
    <w:p w:rsidR="00696F6B" w:rsidRPr="00696F6B" w:rsidRDefault="00696F6B" w:rsidP="00696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6F6B">
        <w:rPr>
          <w:rFonts w:ascii="Times New Roman" w:eastAsia="Times New Roman" w:hAnsi="Times New Roman" w:cs="Times New Roman"/>
          <w:sz w:val="24"/>
          <w:szCs w:val="24"/>
          <w:lang w:eastAsia="uk-UA"/>
        </w:rPr>
        <w:t>Если результаты исследований не востребованы клиницистом, это становится критерием срабатывания порогов и служит материалом для анализа и выяснения причины, почему это происходит. Врач-лаборант не должен устраняться от анализа причин срабатывания порогов на постаналитической части технологического процесса, так как в противном случае это приведет к нарушению взаимодействия всех участников НП. Кроме того, НП становится законченным только в этом частном случае, а при проведении лечения пациента он повторится через какое-то время (исследования будут назначены повторно для оценки проводимого лечения, определения прогноза или диагностики возникших осложнений), и оценивать его придется уже в динамике, с учетом выявленных отклонений в предыдущем случае.</w:t>
      </w:r>
    </w:p>
    <w:p w:rsidR="00696F6B" w:rsidRDefault="00696F6B" w:rsidP="00696F6B">
      <w:pPr>
        <w:jc w:val="both"/>
      </w:pPr>
    </w:p>
    <w:p w:rsidR="00153851" w:rsidRPr="00774F47" w:rsidRDefault="00153851" w:rsidP="007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F47">
        <w:rPr>
          <w:rFonts w:ascii="Times New Roman" w:hAnsi="Times New Roman" w:cs="Times New Roman"/>
          <w:sz w:val="24"/>
          <w:szCs w:val="24"/>
        </w:rPr>
        <w:t>Контрольные вопросы к разделу:</w:t>
      </w:r>
    </w:p>
    <w:p w:rsidR="00153851" w:rsidRPr="00774F47" w:rsidRDefault="00153851" w:rsidP="007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F47">
        <w:rPr>
          <w:rFonts w:ascii="Times New Roman" w:hAnsi="Times New Roman" w:cs="Times New Roman"/>
          <w:sz w:val="24"/>
          <w:szCs w:val="24"/>
        </w:rPr>
        <w:t>1</w:t>
      </w:r>
      <w:r w:rsidRPr="00774F47">
        <w:rPr>
          <w:rFonts w:ascii="Times New Roman" w:hAnsi="Times New Roman" w:cs="Times New Roman"/>
          <w:sz w:val="24"/>
          <w:szCs w:val="24"/>
        </w:rPr>
        <w:tab/>
        <w:t>В чем отличие миокарда от скелетных мышц по субстратам, поставляющим энергию для сокращения?</w:t>
      </w:r>
    </w:p>
    <w:p w:rsidR="00153851" w:rsidRPr="00774F47" w:rsidRDefault="00153851" w:rsidP="007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F47">
        <w:rPr>
          <w:rFonts w:ascii="Times New Roman" w:hAnsi="Times New Roman" w:cs="Times New Roman"/>
          <w:sz w:val="24"/>
          <w:szCs w:val="24"/>
        </w:rPr>
        <w:t>2</w:t>
      </w:r>
      <w:r w:rsidRPr="00774F47">
        <w:rPr>
          <w:rFonts w:ascii="Times New Roman" w:hAnsi="Times New Roman" w:cs="Times New Roman"/>
          <w:sz w:val="24"/>
          <w:szCs w:val="24"/>
        </w:rPr>
        <w:tab/>
        <w:t>Какие процессы являются ведущими для получения АТФ в миокарде?</w:t>
      </w:r>
    </w:p>
    <w:p w:rsidR="00153851" w:rsidRPr="00774F47" w:rsidRDefault="00153851" w:rsidP="007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F47">
        <w:rPr>
          <w:rFonts w:ascii="Times New Roman" w:hAnsi="Times New Roman" w:cs="Times New Roman"/>
          <w:sz w:val="24"/>
          <w:szCs w:val="24"/>
        </w:rPr>
        <w:t>3</w:t>
      </w:r>
      <w:r w:rsidRPr="00774F47">
        <w:rPr>
          <w:rFonts w:ascii="Times New Roman" w:hAnsi="Times New Roman" w:cs="Times New Roman"/>
          <w:sz w:val="24"/>
          <w:szCs w:val="24"/>
        </w:rPr>
        <w:tab/>
        <w:t>Какие ферменты преобладают в миокарде?</w:t>
      </w:r>
    </w:p>
    <w:p w:rsidR="00153851" w:rsidRPr="00774F47" w:rsidRDefault="00153851" w:rsidP="007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F47">
        <w:rPr>
          <w:rFonts w:ascii="Times New Roman" w:hAnsi="Times New Roman" w:cs="Times New Roman"/>
          <w:sz w:val="24"/>
          <w:szCs w:val="24"/>
        </w:rPr>
        <w:t>4</w:t>
      </w:r>
      <w:r w:rsidRPr="00774F47">
        <w:rPr>
          <w:rFonts w:ascii="Times New Roman" w:hAnsi="Times New Roman" w:cs="Times New Roman"/>
          <w:sz w:val="24"/>
          <w:szCs w:val="24"/>
        </w:rPr>
        <w:tab/>
        <w:t>Какие витамины участвуют в метаболизме миокарда?</w:t>
      </w:r>
    </w:p>
    <w:p w:rsidR="00153851" w:rsidRPr="00774F47" w:rsidRDefault="00153851" w:rsidP="007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F47">
        <w:rPr>
          <w:rFonts w:ascii="Times New Roman" w:hAnsi="Times New Roman" w:cs="Times New Roman"/>
          <w:sz w:val="24"/>
          <w:szCs w:val="24"/>
        </w:rPr>
        <w:t>5</w:t>
      </w:r>
      <w:r w:rsidRPr="00774F47">
        <w:rPr>
          <w:rFonts w:ascii="Times New Roman" w:hAnsi="Times New Roman" w:cs="Times New Roman"/>
          <w:sz w:val="24"/>
          <w:szCs w:val="24"/>
        </w:rPr>
        <w:tab/>
        <w:t>Принцип метода определения каталитической активности АсАТ.</w:t>
      </w:r>
    </w:p>
    <w:p w:rsidR="00153851" w:rsidRPr="00774F47" w:rsidRDefault="00153851" w:rsidP="007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F47">
        <w:rPr>
          <w:rFonts w:ascii="Times New Roman" w:hAnsi="Times New Roman" w:cs="Times New Roman"/>
          <w:sz w:val="24"/>
          <w:szCs w:val="24"/>
        </w:rPr>
        <w:t>6</w:t>
      </w:r>
      <w:r w:rsidRPr="00774F47">
        <w:rPr>
          <w:rFonts w:ascii="Times New Roman" w:hAnsi="Times New Roman" w:cs="Times New Roman"/>
          <w:sz w:val="24"/>
          <w:szCs w:val="24"/>
        </w:rPr>
        <w:tab/>
        <w:t>Принцип метода определения каталитической активности ЛДГ.</w:t>
      </w:r>
    </w:p>
    <w:p w:rsidR="00153851" w:rsidRPr="00774F47" w:rsidRDefault="00153851" w:rsidP="007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F47">
        <w:rPr>
          <w:rFonts w:ascii="Times New Roman" w:hAnsi="Times New Roman" w:cs="Times New Roman"/>
          <w:sz w:val="24"/>
          <w:szCs w:val="24"/>
        </w:rPr>
        <w:t>7</w:t>
      </w:r>
      <w:r w:rsidRPr="00774F47">
        <w:rPr>
          <w:rFonts w:ascii="Times New Roman" w:hAnsi="Times New Roman" w:cs="Times New Roman"/>
          <w:sz w:val="24"/>
          <w:szCs w:val="24"/>
        </w:rPr>
        <w:tab/>
        <w:t>Что является основным субстратом, окисление которого (как аэробное, так и анаэробное) приводит к получению АТФ в скелетной мышце?</w:t>
      </w:r>
    </w:p>
    <w:p w:rsidR="00153851" w:rsidRPr="00774F47" w:rsidRDefault="00153851" w:rsidP="007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F47">
        <w:rPr>
          <w:rFonts w:ascii="Times New Roman" w:hAnsi="Times New Roman" w:cs="Times New Roman"/>
          <w:sz w:val="24"/>
          <w:szCs w:val="24"/>
        </w:rPr>
        <w:t>8</w:t>
      </w:r>
      <w:r w:rsidRPr="00774F47">
        <w:rPr>
          <w:rFonts w:ascii="Times New Roman" w:hAnsi="Times New Roman" w:cs="Times New Roman"/>
          <w:sz w:val="24"/>
          <w:szCs w:val="24"/>
        </w:rPr>
        <w:tab/>
        <w:t>Возможно ли получение АТФ в скелетной мышце путем окисления лактата? Объясните.</w:t>
      </w:r>
    </w:p>
    <w:p w:rsidR="00153851" w:rsidRPr="00774F47" w:rsidRDefault="00153851" w:rsidP="007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F47">
        <w:rPr>
          <w:rFonts w:ascii="Times New Roman" w:hAnsi="Times New Roman" w:cs="Times New Roman"/>
          <w:sz w:val="24"/>
          <w:szCs w:val="24"/>
        </w:rPr>
        <w:t>9</w:t>
      </w:r>
      <w:r w:rsidRPr="00774F47">
        <w:rPr>
          <w:rFonts w:ascii="Times New Roman" w:hAnsi="Times New Roman" w:cs="Times New Roman"/>
          <w:sz w:val="24"/>
          <w:szCs w:val="24"/>
        </w:rPr>
        <w:tab/>
        <w:t>Судьба лактата в скелетной мышце.</w:t>
      </w:r>
    </w:p>
    <w:p w:rsidR="00153851" w:rsidRPr="00774F47" w:rsidRDefault="00153851" w:rsidP="007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F47">
        <w:rPr>
          <w:rFonts w:ascii="Times New Roman" w:hAnsi="Times New Roman" w:cs="Times New Roman"/>
          <w:sz w:val="24"/>
          <w:szCs w:val="24"/>
        </w:rPr>
        <w:t>10</w:t>
      </w:r>
      <w:r w:rsidRPr="00774F47">
        <w:rPr>
          <w:rFonts w:ascii="Times New Roman" w:hAnsi="Times New Roman" w:cs="Times New Roman"/>
          <w:sz w:val="24"/>
          <w:szCs w:val="24"/>
        </w:rPr>
        <w:tab/>
        <w:t>Какие белки в скелетной мышце выполняют: а) сократительную функцию б) регуляторную функцию?</w:t>
      </w:r>
    </w:p>
    <w:p w:rsidR="00153851" w:rsidRPr="00774F47" w:rsidRDefault="00153851" w:rsidP="007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F47">
        <w:rPr>
          <w:rFonts w:ascii="Times New Roman" w:hAnsi="Times New Roman" w:cs="Times New Roman"/>
          <w:sz w:val="24"/>
          <w:szCs w:val="24"/>
          <w:lang w:val="ru-RU"/>
        </w:rPr>
        <w:t>11. Какие современные лабораторные критерии ИФ?</w:t>
      </w:r>
    </w:p>
    <w:p w:rsidR="00153851" w:rsidRPr="00774F47" w:rsidRDefault="00153851" w:rsidP="007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F47">
        <w:rPr>
          <w:rFonts w:ascii="Times New Roman" w:hAnsi="Times New Roman" w:cs="Times New Roman"/>
          <w:sz w:val="24"/>
          <w:szCs w:val="24"/>
          <w:lang w:val="ru-RU"/>
        </w:rPr>
        <w:t xml:space="preserve">12. Какие основные диагностические лабораторные тесты при </w:t>
      </w:r>
      <w:proofErr w:type="gramStart"/>
      <w:r w:rsidRPr="00774F47">
        <w:rPr>
          <w:rFonts w:ascii="Times New Roman" w:hAnsi="Times New Roman" w:cs="Times New Roman"/>
          <w:sz w:val="24"/>
          <w:szCs w:val="24"/>
          <w:lang w:val="ru-RU"/>
        </w:rPr>
        <w:t>ревматизме ?</w:t>
      </w:r>
      <w:proofErr w:type="gramEnd"/>
    </w:p>
    <w:p w:rsidR="00153851" w:rsidRPr="00774F47" w:rsidRDefault="00153851" w:rsidP="0077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F47">
        <w:rPr>
          <w:rFonts w:ascii="Times New Roman" w:hAnsi="Times New Roman" w:cs="Times New Roman"/>
          <w:sz w:val="24"/>
          <w:szCs w:val="24"/>
          <w:lang w:val="ru-RU"/>
        </w:rPr>
        <w:t xml:space="preserve">13. </w:t>
      </w:r>
      <w:r w:rsidRPr="00774F47">
        <w:rPr>
          <w:rFonts w:ascii="Times New Roman" w:hAnsi="Times New Roman" w:cs="Times New Roman"/>
          <w:sz w:val="24"/>
          <w:szCs w:val="24"/>
          <w:lang w:val="ru-RU"/>
        </w:rPr>
        <w:t xml:space="preserve">Какие основные диагностические лабораторные тесты </w:t>
      </w:r>
      <w:r w:rsidRPr="00774F47">
        <w:rPr>
          <w:rFonts w:ascii="Times New Roman" w:hAnsi="Times New Roman" w:cs="Times New Roman"/>
          <w:sz w:val="24"/>
          <w:szCs w:val="24"/>
          <w:lang w:val="ru-RU"/>
        </w:rPr>
        <w:t>для оценки атерогенеза?</w:t>
      </w:r>
    </w:p>
    <w:p w:rsidR="00153851" w:rsidRPr="00153851" w:rsidRDefault="00153851" w:rsidP="00153851">
      <w:pPr>
        <w:jc w:val="both"/>
        <w:rPr>
          <w:lang w:val="ru-RU"/>
        </w:rPr>
      </w:pPr>
    </w:p>
    <w:sectPr w:rsidR="00153851" w:rsidRPr="00153851">
      <w:footerReference w:type="defaul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1C" w:rsidRDefault="004D5A1C" w:rsidP="00696F6B">
      <w:pPr>
        <w:spacing w:after="0" w:line="240" w:lineRule="auto"/>
      </w:pPr>
      <w:r>
        <w:separator/>
      </w:r>
    </w:p>
  </w:endnote>
  <w:endnote w:type="continuationSeparator" w:id="0">
    <w:p w:rsidR="004D5A1C" w:rsidRDefault="004D5A1C" w:rsidP="0069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6558199"/>
      <w:docPartObj>
        <w:docPartGallery w:val="Page Numbers (Bottom of Page)"/>
        <w:docPartUnique/>
      </w:docPartObj>
    </w:sdtPr>
    <w:sdtEndPr/>
    <w:sdtContent>
      <w:p w:rsidR="00696F6B" w:rsidRDefault="00696F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F47">
          <w:rPr>
            <w:noProof/>
          </w:rPr>
          <w:t>9</w:t>
        </w:r>
        <w:r>
          <w:fldChar w:fldCharType="end"/>
        </w:r>
      </w:p>
    </w:sdtContent>
  </w:sdt>
  <w:p w:rsidR="00696F6B" w:rsidRDefault="00696F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1C" w:rsidRDefault="004D5A1C" w:rsidP="00696F6B">
      <w:pPr>
        <w:spacing w:after="0" w:line="240" w:lineRule="auto"/>
      </w:pPr>
      <w:r>
        <w:separator/>
      </w:r>
    </w:p>
  </w:footnote>
  <w:footnote w:type="continuationSeparator" w:id="0">
    <w:p w:rsidR="004D5A1C" w:rsidRDefault="004D5A1C" w:rsidP="00696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6B"/>
    <w:rsid w:val="00153851"/>
    <w:rsid w:val="004D5A1C"/>
    <w:rsid w:val="00696F6B"/>
    <w:rsid w:val="00753AD8"/>
    <w:rsid w:val="00774F47"/>
    <w:rsid w:val="00D2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10F5-3923-4C34-85CB-26DE1794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F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F6B"/>
  </w:style>
  <w:style w:type="paragraph" w:styleId="a5">
    <w:name w:val="footer"/>
    <w:basedOn w:val="a"/>
    <w:link w:val="a6"/>
    <w:uiPriority w:val="99"/>
    <w:unhideWhenUsed/>
    <w:rsid w:val="00696F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14705</Words>
  <Characters>8383</Characters>
  <Application>Microsoft Office Word</Application>
  <DocSecurity>0</DocSecurity>
  <Lines>69</Lines>
  <Paragraphs>46</Paragraphs>
  <ScaleCrop>false</ScaleCrop>
  <Company/>
  <LinksUpToDate>false</LinksUpToDate>
  <CharactersWithSpaces>23042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2016-03-13T20:43:00Z</dcterms:created>
  <dcterms:modified xsi:type="dcterms:W3CDTF">2016-03-15T10:28:00Z</dcterms:modified>
</cp:coreProperties>
</file>